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EAAC" w14:textId="77777777" w:rsidR="00AE1D41" w:rsidRDefault="005A2875" w:rsidP="00AE1D41">
      <w:pPr>
        <w:tabs>
          <w:tab w:val="left" w:pos="270"/>
        </w:tabs>
        <w:spacing w:line="360" w:lineRule="auto"/>
        <w:ind w:left="-140"/>
        <w:jc w:val="both"/>
        <w:rPr>
          <w:rFonts w:cs="Tahoma"/>
          <w:bCs/>
          <w:sz w:val="22"/>
          <w:szCs w:val="22"/>
        </w:rPr>
      </w:pPr>
      <w:r>
        <w:rPr>
          <w:rFonts w:cs="Tahoma"/>
          <w:bCs/>
        </w:rPr>
        <w:t>Entegre</w:t>
      </w:r>
      <w:r w:rsidRPr="00442464">
        <w:rPr>
          <w:rFonts w:cs="Tahoma"/>
          <w:bCs/>
          <w:sz w:val="22"/>
          <w:szCs w:val="22"/>
        </w:rPr>
        <w:t xml:space="preserve"> Yönetim Sistemin ana teması;</w:t>
      </w:r>
    </w:p>
    <w:p w14:paraId="7C173D25" w14:textId="191CEA16" w:rsidR="005A2875" w:rsidRPr="00442464" w:rsidRDefault="004952B9" w:rsidP="00AE1D41">
      <w:pPr>
        <w:tabs>
          <w:tab w:val="left" w:pos="270"/>
        </w:tabs>
        <w:spacing w:line="360" w:lineRule="auto"/>
        <w:ind w:left="-140"/>
        <w:jc w:val="both"/>
        <w:rPr>
          <w:rFonts w:cs="Tahoma"/>
          <w:bCs/>
          <w:sz w:val="22"/>
          <w:szCs w:val="22"/>
        </w:rPr>
      </w:pPr>
      <w:r>
        <w:rPr>
          <w:rFonts w:cs="Tahoma"/>
          <w:b/>
          <w:bCs/>
          <w:i/>
          <w:color w:val="FF0000"/>
          <w:sz w:val="20"/>
          <w:szCs w:val="20"/>
          <w:u w:val="single"/>
        </w:rPr>
        <w:t xml:space="preserve">MELİH AŞICI MİKROAREA BİLGİ TEKNOLOJİLERİ </w:t>
      </w:r>
      <w:r w:rsidR="009317B5">
        <w:rPr>
          <w:rFonts w:cs="Tahoma"/>
          <w:bCs/>
          <w:sz w:val="22"/>
          <w:szCs w:val="22"/>
        </w:rPr>
        <w:t>‘içerisinde</w:t>
      </w:r>
      <w:r w:rsidR="005A2875" w:rsidRPr="00442464">
        <w:rPr>
          <w:rFonts w:cs="Tahoma"/>
          <w:bCs/>
          <w:sz w:val="22"/>
          <w:szCs w:val="22"/>
        </w:rPr>
        <w:t xml:space="preserve"> </w:t>
      </w:r>
      <w:r w:rsidR="005A2875">
        <w:rPr>
          <w:rFonts w:cs="Tahoma"/>
          <w:bCs/>
          <w:sz w:val="22"/>
          <w:szCs w:val="22"/>
        </w:rPr>
        <w:t>Entegre Yönetim Sistemi</w:t>
      </w:r>
      <w:r w:rsidR="005A2875" w:rsidRPr="00442464">
        <w:rPr>
          <w:rFonts w:cs="Tahoma"/>
          <w:bCs/>
          <w:sz w:val="22"/>
          <w:szCs w:val="22"/>
        </w:rPr>
        <w:t xml:space="preserve"> ilgili konularda üçüncü taraflarla olan ilişkilerin düzenlenmesini sağlamaktır.</w:t>
      </w:r>
    </w:p>
    <w:p w14:paraId="58AF427C" w14:textId="18FF5F5D" w:rsidR="005A2875" w:rsidRPr="005A2875" w:rsidRDefault="004952B9" w:rsidP="00AE1D41">
      <w:pPr>
        <w:spacing w:line="360" w:lineRule="auto"/>
        <w:rPr>
          <w:rFonts w:cs="Tahoma"/>
          <w:bCs/>
          <w:sz w:val="22"/>
          <w:szCs w:val="22"/>
        </w:rPr>
      </w:pPr>
      <w:r w:rsidRPr="004952B9">
        <w:rPr>
          <w:rFonts w:cs="Tahoma"/>
          <w:bCs/>
          <w:sz w:val="22"/>
          <w:szCs w:val="22"/>
        </w:rPr>
        <w:t xml:space="preserve">MELİH AŞICI MİKROAREA BİLGİ </w:t>
      </w:r>
      <w:r w:rsidR="009317B5" w:rsidRPr="004952B9">
        <w:rPr>
          <w:rFonts w:cs="Tahoma"/>
          <w:bCs/>
          <w:sz w:val="22"/>
          <w:szCs w:val="22"/>
        </w:rPr>
        <w:t>TEKNOLOJİLERİ BİLGİSAYAR</w:t>
      </w:r>
      <w:r w:rsidRPr="004952B9">
        <w:rPr>
          <w:rFonts w:cs="Tahoma"/>
          <w:bCs/>
          <w:sz w:val="22"/>
          <w:szCs w:val="22"/>
        </w:rPr>
        <w:t xml:space="preserve"> PROGRAMLAMA FAALİYETLERİ, REKLAM ARAÇ VE EŞANTİYONLARIN DAĞITIMI VE TESLİM FAALİYETLERİ VE HOSTİNG HİMETLERİNİN SUNUMU </w:t>
      </w:r>
      <w:r w:rsidR="00AE1D41">
        <w:rPr>
          <w:rFonts w:cs="Tahoma"/>
          <w:bCs/>
          <w:sz w:val="22"/>
          <w:szCs w:val="22"/>
        </w:rPr>
        <w:t>Konusunda</w:t>
      </w:r>
    </w:p>
    <w:p w14:paraId="5696704E" w14:textId="77777777" w:rsidR="005A2875" w:rsidRPr="005A2875" w:rsidRDefault="005A2875" w:rsidP="00AE1D41">
      <w:pPr>
        <w:spacing w:line="360" w:lineRule="auto"/>
        <w:rPr>
          <w:rFonts w:cs="Tahoma"/>
          <w:bCs/>
          <w:sz w:val="22"/>
          <w:szCs w:val="22"/>
        </w:rPr>
      </w:pPr>
      <w:r w:rsidRPr="005A2875">
        <w:rPr>
          <w:rFonts w:cs="Tahoma"/>
          <w:bCs/>
          <w:sz w:val="22"/>
          <w:szCs w:val="22"/>
        </w:rPr>
        <w:t>Sürdürülebilir teknoloji çözümleri ile iç ve dış paydaşlarını geleceğe taşıyan iş ortağı olarak;</w:t>
      </w:r>
    </w:p>
    <w:p w14:paraId="645F3155"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Tüm yasal mevzuat ve standartlara bağlı kalarak, müşteri memnuniyeti, çevre yönetimi, hizmet yönetimi ve bilgi güvenliğini sağlamayı ve faaliyetlerimizde iş sağlığı ve güvenliği kuralları ve iş sürekliliği kriterlerini gözetip, kaliteli hizmet vermeyi ve ilgili taraflar, çözüm ortaklarını da aynı felsefe ile yönetilen şirketler arasından seçmeye özen göstermeyi,</w:t>
      </w:r>
    </w:p>
    <w:p w14:paraId="32F47148"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Diğer taraflar ve şirket personeline ait kişisel verileri mevzuata uygun olarak işlemeyi ve gizliliğini sağlamayı,</w:t>
      </w:r>
    </w:p>
    <w:p w14:paraId="66AAA41B"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Süreç yaklaşımı ile süreçlerin etkinliği, birbirleri ile olan etkileşimlerini güvence altına almayı, sürekliliğini sağlamayı,</w:t>
      </w:r>
    </w:p>
    <w:p w14:paraId="3B668E8E"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Süreç yaklaşımı ile her türlü riski-tehditi değerlendirerek azaltmak için önlemler almayı, risk-tehditleri fırsatlara çevirmeyi ve iş sürekliliğini sağlamayı,</w:t>
      </w:r>
    </w:p>
    <w:p w14:paraId="6877A2E4"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Entegre Yönetim Sistemi (EYS) Standartları sürekliliğini sağlamak için hedef ve planlarımızı kesintisiz uygulamayı,</w:t>
      </w:r>
    </w:p>
    <w:p w14:paraId="50B105B4"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İlgili tarafların ihtiyaç ve beklentilerini doğru anlayarak, hızlı, etkin, zamanında ve sürekli olarak cevap vermeyi,</w:t>
      </w:r>
    </w:p>
    <w:p w14:paraId="3234B46A"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Kuruluş kurumsal kimliğimize bağlı hareket etmeyi,</w:t>
      </w:r>
    </w:p>
    <w:p w14:paraId="2AFA212C"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Sektördeki yenilik ve gelişmeleri takip etmeyi,</w:t>
      </w:r>
    </w:p>
    <w:p w14:paraId="58D76695"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Organizasyon çapında sağlık ve güvenliğin temel operasyonel öncelikler olduğu bir kültür oluşturmayı,</w:t>
      </w:r>
    </w:p>
    <w:p w14:paraId="5A87348C"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Meydana gelebilecek her türlü tehdide karşı bilgi varlıklarını korumayı,</w:t>
      </w:r>
    </w:p>
    <w:p w14:paraId="0FF7D792"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Bilgi gizliliği, bütünlüğü ve erişilebilirliğinin bozulmasına sebep olabilecek her türlü riski değerlendirerek riskleri azaltmak üzere alınan önlemlerin sürekliliğini sağlamayı,</w:t>
      </w:r>
    </w:p>
    <w:p w14:paraId="3215C76B"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İş kesintilerinden kaynaklanan stratejik, operasyonel ve finansal her türlü riski değerlendirerek riskleri azaltmak üzere alınan önlemlerin sürekliliğini sağlamayı,</w:t>
      </w:r>
    </w:p>
    <w:p w14:paraId="08902360"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Bilgiye erişebilirliği ve iş sürekliliğini güvenli bir şekilde sağlamak üzere, acil durum ve felaket senaryoları oluşturarak tatbikatlarını yapmayı,</w:t>
      </w:r>
    </w:p>
    <w:p w14:paraId="1CA9C2A3"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lastRenderedPageBreak/>
        <w:t>Etkin bir EYS sağlanması doğrultusunda organizasyonel yapı oluşturmayı, çalışanlara tüm sistemler konusundaki bilinç ve sorumluluklarını benimsetmeyi, tüm kademedeki personelin EYS seviyelerinin sürekli gelişimini sağlamayı,</w:t>
      </w:r>
    </w:p>
    <w:p w14:paraId="379CB9DD"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EYS kurulması, sürdürülmesi ve sürekli iyileştirmesinin tüm çalışanların işi olduğu düşüncesinden hareketle, bu faaliyetleri uygulayan, yöneten, doğrulayan ve yaptığı iş bu faaliyetleri etkileyen tüm personelin ihtiyaç duyduğu eğitimlerin en üst seviyede temin edilmesini,</w:t>
      </w:r>
    </w:p>
    <w:p w14:paraId="1293142D"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Verdiğimiz tüm hizmetlerle ilgili olarak; müşterilerimizden gelen her türlü öneri, şikâyet, talep ve itirazları en kısa sürede inceleyerek, çözüm önerisi ile birlikte müşteriye geri bildirimde bulunmayı ve zamanında açıklık, tarafsızlık, gizlilik, kolay erişilebilirlik, adalet ve duyarlılık ilkeleriyle çözüme kavuşturmayı, aynı memnuniyetsizliğin tekrar oluşmaması için gerekli iyileştirmeleri ve kontrolleri sürekli yaparak, sunulan hizmetlerin sonrasında güçlü, doğru, şeffaf ve devamlılık sağlayan müşteri ilişkisi oluşturmayı,</w:t>
      </w:r>
    </w:p>
    <w:p w14:paraId="2F79C15D" w14:textId="36EBF652" w:rsidR="005A2875" w:rsidRPr="005A2875" w:rsidRDefault="005A2875" w:rsidP="00AE1D41">
      <w:pPr>
        <w:numPr>
          <w:ilvl w:val="0"/>
          <w:numId w:val="11"/>
        </w:numPr>
        <w:spacing w:line="360" w:lineRule="auto"/>
        <w:rPr>
          <w:rFonts w:cs="Tahoma"/>
          <w:bCs/>
          <w:sz w:val="22"/>
          <w:szCs w:val="22"/>
        </w:rPr>
      </w:pPr>
      <w:r>
        <w:rPr>
          <w:rFonts w:cs="Tahoma"/>
          <w:bCs/>
          <w:sz w:val="22"/>
          <w:szCs w:val="22"/>
        </w:rPr>
        <w:t>Kapsamımızda</w:t>
      </w:r>
      <w:r w:rsidRPr="005A2875">
        <w:rPr>
          <w:rFonts w:cs="Tahoma"/>
          <w:bCs/>
          <w:sz w:val="22"/>
          <w:szCs w:val="22"/>
        </w:rPr>
        <w:t xml:space="preserve"> belirtilen hizmet seviyesi sürelerine uyum oranını artırmayı; teknik personelin ve Servis/Çözüm Ortağının sürekli gelişimini sağlamayı,</w:t>
      </w:r>
    </w:p>
    <w:p w14:paraId="6CFBDD68" w14:textId="1E30E01C" w:rsidR="005A2875" w:rsidRPr="005A2875" w:rsidRDefault="005A2875" w:rsidP="00AE1D41">
      <w:pPr>
        <w:numPr>
          <w:ilvl w:val="0"/>
          <w:numId w:val="11"/>
        </w:numPr>
        <w:spacing w:line="360" w:lineRule="auto"/>
        <w:rPr>
          <w:rFonts w:cs="Tahoma"/>
          <w:bCs/>
          <w:sz w:val="22"/>
          <w:szCs w:val="22"/>
        </w:rPr>
      </w:pPr>
      <w:r>
        <w:rPr>
          <w:rFonts w:cs="Tahoma"/>
          <w:bCs/>
          <w:sz w:val="22"/>
          <w:szCs w:val="22"/>
        </w:rPr>
        <w:t>Kapsamımızda</w:t>
      </w:r>
      <w:r w:rsidRPr="005A2875">
        <w:rPr>
          <w:rFonts w:cs="Tahoma"/>
          <w:bCs/>
          <w:sz w:val="22"/>
          <w:szCs w:val="22"/>
        </w:rPr>
        <w:t xml:space="preserve"> hizmetlerin gerektiğinde erişilebilir olmasını ve herhangi bir kesinti olması durumunda verilen hizmetleri tanımlanmış olan sürelerde tekrar çalışır hale getirmeyi,</w:t>
      </w:r>
    </w:p>
    <w:p w14:paraId="437E13A8" w14:textId="77777777" w:rsidR="005A2875" w:rsidRPr="005A2875" w:rsidRDefault="005A2875" w:rsidP="00AE1D41">
      <w:pPr>
        <w:numPr>
          <w:ilvl w:val="0"/>
          <w:numId w:val="11"/>
        </w:numPr>
        <w:spacing w:line="360" w:lineRule="auto"/>
        <w:rPr>
          <w:rFonts w:cs="Tahoma"/>
          <w:bCs/>
          <w:sz w:val="22"/>
          <w:szCs w:val="22"/>
        </w:rPr>
      </w:pPr>
      <w:r w:rsidRPr="005A2875">
        <w:rPr>
          <w:rFonts w:cs="Tahoma"/>
          <w:bCs/>
          <w:sz w:val="22"/>
          <w:szCs w:val="22"/>
        </w:rPr>
        <w:t>EYS çerçevesinde, tüm iş süreçlerimizde kaynaklarımızın etkin bir şekilde, planlı ve sistematik olarak yönetilmesi ve sürekli geliştirilmesini sağlamayı,</w:t>
      </w:r>
    </w:p>
    <w:p w14:paraId="56C4E6D3" w14:textId="3FC91C63" w:rsidR="005A2875" w:rsidRDefault="005A2875" w:rsidP="00AE1D41">
      <w:pPr>
        <w:numPr>
          <w:ilvl w:val="0"/>
          <w:numId w:val="11"/>
        </w:numPr>
        <w:spacing w:line="360" w:lineRule="auto"/>
        <w:rPr>
          <w:rFonts w:cs="Tahoma"/>
          <w:bCs/>
          <w:sz w:val="22"/>
          <w:szCs w:val="22"/>
        </w:rPr>
      </w:pPr>
      <w:r w:rsidRPr="005A2875">
        <w:rPr>
          <w:rFonts w:cs="Tahoma"/>
          <w:bCs/>
          <w:sz w:val="22"/>
          <w:szCs w:val="22"/>
        </w:rPr>
        <w:t xml:space="preserve">Kişisel Verilerin Korunumu Kanunu gereğince, firma içerisindeki süreçler dahilinde ve ilişki kurulan kurumlara dair kullanılan kişisel verilerin saklanmasını, </w:t>
      </w:r>
      <w:r w:rsidR="004952B9" w:rsidRPr="005A2875">
        <w:rPr>
          <w:rFonts w:cs="Tahoma"/>
          <w:bCs/>
          <w:sz w:val="22"/>
          <w:szCs w:val="22"/>
        </w:rPr>
        <w:t>sızdırılmazlığını</w:t>
      </w:r>
      <w:r w:rsidRPr="005A2875">
        <w:rPr>
          <w:rFonts w:cs="Tahoma"/>
          <w:bCs/>
          <w:sz w:val="22"/>
          <w:szCs w:val="22"/>
        </w:rPr>
        <w:t xml:space="preserve"> sağlamayı</w:t>
      </w:r>
    </w:p>
    <w:p w14:paraId="1C70983A" w14:textId="75D0EF2D" w:rsidR="005A2875" w:rsidRPr="005A2875" w:rsidRDefault="005A2875" w:rsidP="00AE1D41">
      <w:pPr>
        <w:numPr>
          <w:ilvl w:val="0"/>
          <w:numId w:val="11"/>
        </w:numPr>
        <w:shd w:val="clear" w:color="auto" w:fill="FFFFFF"/>
        <w:spacing w:before="100" w:beforeAutospacing="1" w:after="100" w:afterAutospacing="1" w:line="360" w:lineRule="auto"/>
        <w:rPr>
          <w:rFonts w:cs="Tahoma"/>
          <w:bCs/>
          <w:sz w:val="22"/>
          <w:szCs w:val="22"/>
        </w:rPr>
      </w:pPr>
      <w:r w:rsidRPr="005A2875">
        <w:rPr>
          <w:rFonts w:cs="Tahoma"/>
          <w:bCs/>
          <w:sz w:val="22"/>
          <w:szCs w:val="22"/>
        </w:rPr>
        <w:t xml:space="preserve">Çalışan personelini, taşeronunu, ziyaretçisini ve diğer ilgili taraflarını faaliyetinden kaynaklı oluşabilecek tehlike ve risklerden korumak için işletme ve çalışma şartlarının konforunu </w:t>
      </w:r>
      <w:r w:rsidR="009317B5" w:rsidRPr="005A2875">
        <w:rPr>
          <w:rFonts w:cs="Tahoma"/>
          <w:bCs/>
          <w:sz w:val="22"/>
          <w:szCs w:val="22"/>
        </w:rPr>
        <w:t>inşa</w:t>
      </w:r>
      <w:r w:rsidRPr="005A2875">
        <w:rPr>
          <w:rFonts w:cs="Tahoma"/>
          <w:bCs/>
          <w:sz w:val="22"/>
          <w:szCs w:val="22"/>
        </w:rPr>
        <w:t xml:space="preserve"> edeceğini ve devamlılığını sağlayacağını,</w:t>
      </w:r>
    </w:p>
    <w:p w14:paraId="11400D0F" w14:textId="3D5D46BD" w:rsidR="005A2875" w:rsidRPr="004952B9" w:rsidRDefault="005A2875" w:rsidP="004952B9">
      <w:pPr>
        <w:numPr>
          <w:ilvl w:val="0"/>
          <w:numId w:val="11"/>
        </w:numPr>
        <w:shd w:val="clear" w:color="auto" w:fill="FFFFFF"/>
        <w:spacing w:before="100" w:beforeAutospacing="1" w:after="100" w:afterAutospacing="1" w:line="360" w:lineRule="auto"/>
        <w:rPr>
          <w:rFonts w:cs="Tahoma"/>
          <w:bCs/>
          <w:sz w:val="22"/>
          <w:szCs w:val="22"/>
        </w:rPr>
      </w:pPr>
      <w:r w:rsidRPr="005A2875">
        <w:rPr>
          <w:rFonts w:cs="Tahoma"/>
          <w:bCs/>
          <w:sz w:val="22"/>
          <w:szCs w:val="22"/>
        </w:rPr>
        <w:t>Bütün faaliyetlerini, sorumluluk duygusu içinde ve etkili bir anlayışta yürütmek için çalışanlarının, taşeronlarının, ziyaretçilerinin ve diğer ilgili tarafların farkındalığını artıracağını, eğitimler düzenleyeceğini ve sisteme katılım, teşvik ve danışma kanallarını açık tutacağını,</w:t>
      </w:r>
    </w:p>
    <w:p w14:paraId="5AD821D7" w14:textId="77777777" w:rsidR="005A2875" w:rsidRPr="005A2875" w:rsidRDefault="005A2875" w:rsidP="00AE1D41">
      <w:pPr>
        <w:spacing w:line="360" w:lineRule="auto"/>
        <w:rPr>
          <w:rFonts w:cs="Tahoma"/>
          <w:bCs/>
          <w:sz w:val="22"/>
          <w:szCs w:val="22"/>
        </w:rPr>
      </w:pPr>
      <w:r w:rsidRPr="005A2875">
        <w:rPr>
          <w:rFonts w:cs="Tahoma"/>
          <w:bCs/>
          <w:sz w:val="22"/>
          <w:szCs w:val="22"/>
        </w:rPr>
        <w:t>Entegre Yönetim Sistemi Politikamız olarak taahhüt ederiz.</w:t>
      </w:r>
    </w:p>
    <w:p w14:paraId="028F4CD9" w14:textId="77777777" w:rsidR="005A2875" w:rsidRPr="00442464" w:rsidRDefault="005A2875" w:rsidP="00AE1D41">
      <w:pPr>
        <w:spacing w:line="360" w:lineRule="auto"/>
        <w:rPr>
          <w:rFonts w:cs="Tahoma"/>
          <w:bCs/>
          <w:sz w:val="22"/>
          <w:szCs w:val="22"/>
        </w:rPr>
      </w:pPr>
    </w:p>
    <w:sectPr w:rsidR="005A2875" w:rsidRPr="00442464" w:rsidSect="005A02C3">
      <w:headerReference w:type="default" r:id="rId7"/>
      <w:footerReference w:type="default" r:id="rId8"/>
      <w:pgSz w:w="11906" w:h="16838" w:code="9"/>
      <w:pgMar w:top="1418" w:right="992"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5ECA" w14:textId="77777777" w:rsidR="00AB30E6" w:rsidRDefault="00AB30E6" w:rsidP="00CE6C29">
      <w:r>
        <w:separator/>
      </w:r>
    </w:p>
  </w:endnote>
  <w:endnote w:type="continuationSeparator" w:id="0">
    <w:p w14:paraId="32B7CCBC" w14:textId="77777777" w:rsidR="00AB30E6" w:rsidRDefault="00AB30E6" w:rsidP="00CE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0D03" w14:textId="77777777" w:rsidR="0028714F" w:rsidRPr="00D22607" w:rsidRDefault="00000000" w:rsidP="00FF6EC7">
    <w:pPr>
      <w:pStyle w:val="Altbilgi"/>
      <w:jc w:val="center"/>
      <w:rPr>
        <w:b/>
        <w:lang w:val="tr-TR"/>
      </w:rPr>
    </w:pPr>
    <w:r>
      <w:rPr>
        <w:noProof/>
        <w:lang w:val="tr-TR"/>
      </w:rPr>
      <w:pict w14:anchorId="4471F698">
        <v:shapetype id="_x0000_t32" coordsize="21600,21600" o:spt="32" o:oned="t" path="m,l21600,21600e" filled="f">
          <v:path arrowok="t" fillok="f" o:connecttype="none"/>
          <o:lock v:ext="edit" shapetype="t"/>
        </v:shapetype>
        <v:shape id="_x0000_s1027" type="#_x0000_t32" style="position:absolute;left:0;text-align:left;margin-left:-5.1pt;margin-top:-5.4pt;width:483.05pt;height:.05pt;z-index:3" o:connectortype="straight" strokecolor="red" strokeweight="3pt">
          <v:shadow type="perspective" color="#974706" opacity=".5" offset="1pt" offset2="-1pt"/>
        </v:shape>
      </w:pict>
    </w:r>
    <w:r w:rsidR="00FF6EC7">
      <w:rPr>
        <w:lang w:val="tr-TR"/>
      </w:rPr>
      <w:t xml:space="preserve">                                                            </w:t>
    </w:r>
    <w:r w:rsidR="002B5E87">
      <w:rPr>
        <w:lang w:val="tr-TR"/>
      </w:rPr>
      <w:t xml:space="preserve">                          </w:t>
    </w:r>
    <w:r w:rsidR="003A6D77">
      <w:rPr>
        <w:b/>
        <w:lang w:val="tr-TR"/>
      </w:rPr>
      <w:t>GENEL MÜDÜR</w:t>
    </w:r>
  </w:p>
  <w:p w14:paraId="09B6E3FD" w14:textId="77777777" w:rsidR="002B1512" w:rsidRPr="003A6D77" w:rsidRDefault="00477579" w:rsidP="002B1512">
    <w:pPr>
      <w:pStyle w:val="Altbilgi"/>
      <w:rPr>
        <w:b/>
        <w:sz w:val="16"/>
        <w:szCs w:val="16"/>
        <w:lang w:val="tr-TR"/>
      </w:rPr>
    </w:pPr>
    <w:r w:rsidRPr="003A6D77">
      <w:rPr>
        <w:b/>
        <w:sz w:val="16"/>
        <w:szCs w:val="16"/>
        <w:lang w:val="tr-TR"/>
      </w:rPr>
      <w:t>BGYSPO 00</w:t>
    </w:r>
  </w:p>
  <w:p w14:paraId="485527B8" w14:textId="12D794A7" w:rsidR="002B1512" w:rsidRPr="003A6D77" w:rsidRDefault="00000000" w:rsidP="002B1512">
    <w:pPr>
      <w:pStyle w:val="Altbilgi"/>
      <w:rPr>
        <w:b/>
        <w:sz w:val="16"/>
        <w:szCs w:val="16"/>
        <w:lang w:val="tr-TR"/>
      </w:rPr>
    </w:pPr>
    <w:r>
      <w:rPr>
        <w:b/>
        <w:noProof/>
        <w:sz w:val="16"/>
        <w:szCs w:val="16"/>
        <w:lang w:val="tr-TR"/>
      </w:rPr>
      <w:pict w14:anchorId="630DFDA2">
        <v:shape id="_x0000_s1028" type="#_x0000_t32" style="position:absolute;margin-left:-4.8pt;margin-top:25.1pt;width:487.3pt;height:0;z-index:4" o:connectortype="straight" strokecolor="red" strokeweight="3pt">
          <v:shadow type="perspective" color="#974706" opacity=".5" offset="1pt" offset2="-1pt"/>
        </v:shape>
      </w:pict>
    </w:r>
    <w:r w:rsidR="003A6D77">
      <w:rPr>
        <w:b/>
        <w:sz w:val="16"/>
        <w:szCs w:val="16"/>
        <w:lang w:val="tr-TR"/>
      </w:rPr>
      <w:t>28.5.202</w:t>
    </w:r>
    <w:r w:rsidR="004952B9">
      <w:rPr>
        <w:b/>
        <w:sz w:val="16"/>
        <w:szCs w:val="16"/>
        <w:lang w:val="tr-TR"/>
      </w:rPr>
      <w:t xml:space="preserve">5 </w:t>
    </w:r>
    <w:r w:rsidR="00BB0313" w:rsidRPr="003A6D77">
      <w:rPr>
        <w:b/>
        <w:sz w:val="16"/>
        <w:szCs w:val="16"/>
        <w:lang w:val="tr-TR"/>
      </w:rPr>
      <w:t>&amp;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9689" w14:textId="77777777" w:rsidR="00AB30E6" w:rsidRDefault="00AB30E6" w:rsidP="00CE6C29">
      <w:r>
        <w:separator/>
      </w:r>
    </w:p>
  </w:footnote>
  <w:footnote w:type="continuationSeparator" w:id="0">
    <w:p w14:paraId="52D6597F" w14:textId="77777777" w:rsidR="00AB30E6" w:rsidRDefault="00AB30E6" w:rsidP="00CE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Borders>
        <w:top w:val="single" w:sz="8" w:space="0" w:color="4BACC6"/>
        <w:bottom w:val="single" w:sz="8" w:space="0" w:color="4BACC6"/>
      </w:tblBorders>
      <w:tblLook w:val="04A0" w:firstRow="1" w:lastRow="0" w:firstColumn="1" w:lastColumn="0" w:noHBand="0" w:noVBand="1"/>
    </w:tblPr>
    <w:tblGrid>
      <w:gridCol w:w="2162"/>
      <w:gridCol w:w="5192"/>
      <w:gridCol w:w="2286"/>
    </w:tblGrid>
    <w:tr w:rsidR="0028714F" w:rsidRPr="00A41E55" w14:paraId="28560AB9" w14:textId="77777777" w:rsidTr="00F04B0F">
      <w:trPr>
        <w:trHeight w:val="973"/>
      </w:trPr>
      <w:tc>
        <w:tcPr>
          <w:tcW w:w="2162" w:type="dxa"/>
          <w:tcBorders>
            <w:top w:val="nil"/>
            <w:left w:val="nil"/>
            <w:bottom w:val="nil"/>
            <w:right w:val="nil"/>
          </w:tcBorders>
        </w:tcPr>
        <w:p w14:paraId="0E4FEED2" w14:textId="77777777" w:rsidR="0028714F" w:rsidRPr="00002D4A" w:rsidRDefault="00000000" w:rsidP="00002D4A">
          <w:pPr>
            <w:ind w:right="-78"/>
            <w:jc w:val="center"/>
            <w:rPr>
              <w:rFonts w:cs="Tahoma"/>
              <w:b/>
              <w:bCs/>
              <w:color w:val="5F497A"/>
              <w:sz w:val="28"/>
              <w:szCs w:val="28"/>
            </w:rPr>
          </w:pPr>
          <w:r>
            <w:rPr>
              <w:noProof/>
            </w:rPr>
            <w:pict w14:anchorId="7C45CDD8">
              <v:shapetype id="_x0000_t32" coordsize="21600,21600" o:spt="32" o:oned="t" path="m,l21600,21600e" filled="f">
                <v:path arrowok="t" fillok="f" o:connecttype="none"/>
                <o:lock v:ext="edit" shapetype="t"/>
              </v:shapetype>
              <v:shape id="_x0000_s1026" type="#_x0000_t32" style="position:absolute;left:0;text-align:left;margin-left:-6.65pt;margin-top:-5.45pt;width:483.05pt;height:.05pt;z-index:2" o:connectortype="straight" strokecolor="red" strokeweight="3pt">
                <v:shadow type="perspective" color="#974706" opacity=".5" offset="1pt" offset2="-1pt"/>
              </v:shape>
            </w:pict>
          </w:r>
        </w:p>
      </w:tc>
      <w:tc>
        <w:tcPr>
          <w:tcW w:w="5192" w:type="dxa"/>
          <w:tcBorders>
            <w:top w:val="nil"/>
            <w:left w:val="nil"/>
            <w:bottom w:val="nil"/>
            <w:right w:val="nil"/>
          </w:tcBorders>
        </w:tcPr>
        <w:p w14:paraId="2B89A956" w14:textId="5F13961C" w:rsidR="0028714F" w:rsidRPr="00002D4A" w:rsidRDefault="005A2875" w:rsidP="00F04B0F">
          <w:pPr>
            <w:jc w:val="center"/>
            <w:rPr>
              <w:rFonts w:cs="Tahoma"/>
              <w:b/>
              <w:bCs/>
              <w:sz w:val="36"/>
              <w:szCs w:val="36"/>
            </w:rPr>
          </w:pPr>
          <w:r>
            <w:rPr>
              <w:rFonts w:cs="Tahoma"/>
              <w:b/>
              <w:bCs/>
              <w:sz w:val="36"/>
              <w:szCs w:val="36"/>
            </w:rPr>
            <w:t>ENTEGRE YÖNETİM</w:t>
          </w:r>
          <w:r w:rsidR="00D318FC" w:rsidRPr="00002D4A">
            <w:rPr>
              <w:rFonts w:cs="Tahoma"/>
              <w:b/>
              <w:bCs/>
              <w:sz w:val="36"/>
              <w:szCs w:val="36"/>
            </w:rPr>
            <w:t xml:space="preserve"> SİSTEMİ </w:t>
          </w:r>
          <w:r w:rsidR="00590675" w:rsidRPr="00002D4A">
            <w:rPr>
              <w:rFonts w:cs="Tahoma"/>
              <w:b/>
              <w:bCs/>
              <w:sz w:val="36"/>
              <w:szCs w:val="36"/>
            </w:rPr>
            <w:t>POLİTİKASI</w:t>
          </w:r>
        </w:p>
      </w:tc>
      <w:tc>
        <w:tcPr>
          <w:tcW w:w="2286" w:type="dxa"/>
          <w:tcBorders>
            <w:top w:val="nil"/>
            <w:left w:val="nil"/>
            <w:bottom w:val="nil"/>
            <w:right w:val="nil"/>
          </w:tcBorders>
        </w:tcPr>
        <w:p w14:paraId="5B3200D0" w14:textId="77777777" w:rsidR="0028714F" w:rsidRPr="00A41E55" w:rsidRDefault="0028714F" w:rsidP="00F31E29">
          <w:pPr>
            <w:ind w:right="-78"/>
            <w:jc w:val="center"/>
            <w:rPr>
              <w:rFonts w:ascii="Arial" w:hAnsi="Arial" w:cs="Arial"/>
              <w:b/>
              <w:bCs/>
              <w:color w:val="5F497A"/>
              <w:sz w:val="72"/>
              <w:szCs w:val="72"/>
            </w:rPr>
          </w:pPr>
        </w:p>
      </w:tc>
    </w:tr>
  </w:tbl>
  <w:p w14:paraId="07E628E9" w14:textId="77777777" w:rsidR="00CE6C29" w:rsidRDefault="00000000">
    <w:pPr>
      <w:pStyle w:val="stbilgi"/>
    </w:pPr>
    <w:r>
      <w:rPr>
        <w:noProof/>
      </w:rPr>
      <w:pict w14:anchorId="1CF6D5BA">
        <v:shape id="_x0000_s1025" type="#_x0000_t32" style="position:absolute;margin-left:-8pt;margin-top:4.75pt;width:483.05pt;height:.05pt;z-index:1;mso-position-horizontal-relative:text;mso-position-vertical-relative:text" o:connectortype="straight" strokecolor="red" strokeweight="3pt">
          <v:shadow type="perspective" color="#974706" opacity=".5" offset="1pt" offset2="-1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
      </v:shape>
    </w:pict>
  </w:numPicBullet>
  <w:numPicBullet w:numPicBulletId="1">
    <w:pict>
      <v:shape id="_x0000_i1035" type="#_x0000_t75" style="width:3in;height:3in" o:bullet="t">
        <v:imagedata r:id="rId2" o:title="mc"/>
      </v:shape>
    </w:pict>
  </w:numPicBullet>
  <w:abstractNum w:abstractNumId="0" w15:restartNumberingAfterBreak="0">
    <w:nsid w:val="05182C39"/>
    <w:multiLevelType w:val="hybridMultilevel"/>
    <w:tmpl w:val="7512D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6137EB"/>
    <w:multiLevelType w:val="hybridMultilevel"/>
    <w:tmpl w:val="FB4653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740CF4"/>
    <w:multiLevelType w:val="hybridMultilevel"/>
    <w:tmpl w:val="234696D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985027"/>
    <w:multiLevelType w:val="multilevel"/>
    <w:tmpl w:val="74C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035B7"/>
    <w:multiLevelType w:val="hybridMultilevel"/>
    <w:tmpl w:val="B89483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A567AA"/>
    <w:multiLevelType w:val="hybridMultilevel"/>
    <w:tmpl w:val="4996679C"/>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6" w15:restartNumberingAfterBreak="0">
    <w:nsid w:val="49063A3F"/>
    <w:multiLevelType w:val="hybridMultilevel"/>
    <w:tmpl w:val="87228E7A"/>
    <w:lvl w:ilvl="0" w:tplc="041F0007">
      <w:start w:val="1"/>
      <w:numFmt w:val="bullet"/>
      <w:lvlText w:val=""/>
      <w:lvlPicBulletId w:val="0"/>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5369B"/>
    <w:multiLevelType w:val="multilevel"/>
    <w:tmpl w:val="489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A5FC4"/>
    <w:multiLevelType w:val="hybridMultilevel"/>
    <w:tmpl w:val="8032811E"/>
    <w:lvl w:ilvl="0" w:tplc="E0CA5FC6">
      <w:start w:val="1"/>
      <w:numFmt w:val="bullet"/>
      <w:lvlText w:val=""/>
      <w:lvlPicBulletId w:val="1"/>
      <w:lvlJc w:val="left"/>
      <w:pPr>
        <w:tabs>
          <w:tab w:val="num" w:pos="720"/>
        </w:tabs>
        <w:ind w:left="720" w:hanging="360"/>
      </w:pPr>
      <w:rPr>
        <w:rFonts w:ascii="Symbol" w:hAnsi="Symbol" w:hint="default"/>
      </w:rPr>
    </w:lvl>
    <w:lvl w:ilvl="1" w:tplc="B9581C8C" w:tentative="1">
      <w:start w:val="1"/>
      <w:numFmt w:val="bullet"/>
      <w:lvlText w:val=""/>
      <w:lvlJc w:val="left"/>
      <w:pPr>
        <w:tabs>
          <w:tab w:val="num" w:pos="1440"/>
        </w:tabs>
        <w:ind w:left="1440" w:hanging="360"/>
      </w:pPr>
      <w:rPr>
        <w:rFonts w:ascii="Symbol" w:hAnsi="Symbol" w:hint="default"/>
      </w:rPr>
    </w:lvl>
    <w:lvl w:ilvl="2" w:tplc="83FCEBE6" w:tentative="1">
      <w:start w:val="1"/>
      <w:numFmt w:val="bullet"/>
      <w:lvlText w:val=""/>
      <w:lvlJc w:val="left"/>
      <w:pPr>
        <w:tabs>
          <w:tab w:val="num" w:pos="2160"/>
        </w:tabs>
        <w:ind w:left="2160" w:hanging="360"/>
      </w:pPr>
      <w:rPr>
        <w:rFonts w:ascii="Symbol" w:hAnsi="Symbol" w:hint="default"/>
      </w:rPr>
    </w:lvl>
    <w:lvl w:ilvl="3" w:tplc="901AC432" w:tentative="1">
      <w:start w:val="1"/>
      <w:numFmt w:val="bullet"/>
      <w:lvlText w:val=""/>
      <w:lvlJc w:val="left"/>
      <w:pPr>
        <w:tabs>
          <w:tab w:val="num" w:pos="2880"/>
        </w:tabs>
        <w:ind w:left="2880" w:hanging="360"/>
      </w:pPr>
      <w:rPr>
        <w:rFonts w:ascii="Symbol" w:hAnsi="Symbol" w:hint="default"/>
      </w:rPr>
    </w:lvl>
    <w:lvl w:ilvl="4" w:tplc="34CE342C" w:tentative="1">
      <w:start w:val="1"/>
      <w:numFmt w:val="bullet"/>
      <w:lvlText w:val=""/>
      <w:lvlJc w:val="left"/>
      <w:pPr>
        <w:tabs>
          <w:tab w:val="num" w:pos="3600"/>
        </w:tabs>
        <w:ind w:left="3600" w:hanging="360"/>
      </w:pPr>
      <w:rPr>
        <w:rFonts w:ascii="Symbol" w:hAnsi="Symbol" w:hint="default"/>
      </w:rPr>
    </w:lvl>
    <w:lvl w:ilvl="5" w:tplc="04E07550" w:tentative="1">
      <w:start w:val="1"/>
      <w:numFmt w:val="bullet"/>
      <w:lvlText w:val=""/>
      <w:lvlJc w:val="left"/>
      <w:pPr>
        <w:tabs>
          <w:tab w:val="num" w:pos="4320"/>
        </w:tabs>
        <w:ind w:left="4320" w:hanging="360"/>
      </w:pPr>
      <w:rPr>
        <w:rFonts w:ascii="Symbol" w:hAnsi="Symbol" w:hint="default"/>
      </w:rPr>
    </w:lvl>
    <w:lvl w:ilvl="6" w:tplc="05D2A468" w:tentative="1">
      <w:start w:val="1"/>
      <w:numFmt w:val="bullet"/>
      <w:lvlText w:val=""/>
      <w:lvlJc w:val="left"/>
      <w:pPr>
        <w:tabs>
          <w:tab w:val="num" w:pos="5040"/>
        </w:tabs>
        <w:ind w:left="5040" w:hanging="360"/>
      </w:pPr>
      <w:rPr>
        <w:rFonts w:ascii="Symbol" w:hAnsi="Symbol" w:hint="default"/>
      </w:rPr>
    </w:lvl>
    <w:lvl w:ilvl="7" w:tplc="DDD60E8E" w:tentative="1">
      <w:start w:val="1"/>
      <w:numFmt w:val="bullet"/>
      <w:lvlText w:val=""/>
      <w:lvlJc w:val="left"/>
      <w:pPr>
        <w:tabs>
          <w:tab w:val="num" w:pos="5760"/>
        </w:tabs>
        <w:ind w:left="5760" w:hanging="360"/>
      </w:pPr>
      <w:rPr>
        <w:rFonts w:ascii="Symbol" w:hAnsi="Symbol" w:hint="default"/>
      </w:rPr>
    </w:lvl>
    <w:lvl w:ilvl="8" w:tplc="9D86BF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C9C2611"/>
    <w:multiLevelType w:val="hybridMultilevel"/>
    <w:tmpl w:val="1EEE16E4"/>
    <w:lvl w:ilvl="0" w:tplc="7F2A13E4">
      <w:start w:val="1"/>
      <w:numFmt w:val="bullet"/>
      <w:lvlText w:val=""/>
      <w:lvlPicBulletId w:val="1"/>
      <w:lvlJc w:val="left"/>
      <w:pPr>
        <w:tabs>
          <w:tab w:val="num" w:pos="720"/>
        </w:tabs>
        <w:ind w:left="720" w:hanging="360"/>
      </w:pPr>
      <w:rPr>
        <w:rFonts w:ascii="Symbol" w:hAnsi="Symbol" w:hint="default"/>
      </w:rPr>
    </w:lvl>
    <w:lvl w:ilvl="1" w:tplc="6FFCB83E" w:tentative="1">
      <w:start w:val="1"/>
      <w:numFmt w:val="bullet"/>
      <w:lvlText w:val=""/>
      <w:lvlJc w:val="left"/>
      <w:pPr>
        <w:tabs>
          <w:tab w:val="num" w:pos="1440"/>
        </w:tabs>
        <w:ind w:left="1440" w:hanging="360"/>
      </w:pPr>
      <w:rPr>
        <w:rFonts w:ascii="Symbol" w:hAnsi="Symbol" w:hint="default"/>
      </w:rPr>
    </w:lvl>
    <w:lvl w:ilvl="2" w:tplc="D66446D2" w:tentative="1">
      <w:start w:val="1"/>
      <w:numFmt w:val="bullet"/>
      <w:lvlText w:val=""/>
      <w:lvlJc w:val="left"/>
      <w:pPr>
        <w:tabs>
          <w:tab w:val="num" w:pos="2160"/>
        </w:tabs>
        <w:ind w:left="2160" w:hanging="360"/>
      </w:pPr>
      <w:rPr>
        <w:rFonts w:ascii="Symbol" w:hAnsi="Symbol" w:hint="default"/>
      </w:rPr>
    </w:lvl>
    <w:lvl w:ilvl="3" w:tplc="66F0A526" w:tentative="1">
      <w:start w:val="1"/>
      <w:numFmt w:val="bullet"/>
      <w:lvlText w:val=""/>
      <w:lvlJc w:val="left"/>
      <w:pPr>
        <w:tabs>
          <w:tab w:val="num" w:pos="2880"/>
        </w:tabs>
        <w:ind w:left="2880" w:hanging="360"/>
      </w:pPr>
      <w:rPr>
        <w:rFonts w:ascii="Symbol" w:hAnsi="Symbol" w:hint="default"/>
      </w:rPr>
    </w:lvl>
    <w:lvl w:ilvl="4" w:tplc="15106EA0" w:tentative="1">
      <w:start w:val="1"/>
      <w:numFmt w:val="bullet"/>
      <w:lvlText w:val=""/>
      <w:lvlJc w:val="left"/>
      <w:pPr>
        <w:tabs>
          <w:tab w:val="num" w:pos="3600"/>
        </w:tabs>
        <w:ind w:left="3600" w:hanging="360"/>
      </w:pPr>
      <w:rPr>
        <w:rFonts w:ascii="Symbol" w:hAnsi="Symbol" w:hint="default"/>
      </w:rPr>
    </w:lvl>
    <w:lvl w:ilvl="5" w:tplc="792025E4" w:tentative="1">
      <w:start w:val="1"/>
      <w:numFmt w:val="bullet"/>
      <w:lvlText w:val=""/>
      <w:lvlJc w:val="left"/>
      <w:pPr>
        <w:tabs>
          <w:tab w:val="num" w:pos="4320"/>
        </w:tabs>
        <w:ind w:left="4320" w:hanging="360"/>
      </w:pPr>
      <w:rPr>
        <w:rFonts w:ascii="Symbol" w:hAnsi="Symbol" w:hint="default"/>
      </w:rPr>
    </w:lvl>
    <w:lvl w:ilvl="6" w:tplc="F97A413E" w:tentative="1">
      <w:start w:val="1"/>
      <w:numFmt w:val="bullet"/>
      <w:lvlText w:val=""/>
      <w:lvlJc w:val="left"/>
      <w:pPr>
        <w:tabs>
          <w:tab w:val="num" w:pos="5040"/>
        </w:tabs>
        <w:ind w:left="5040" w:hanging="360"/>
      </w:pPr>
      <w:rPr>
        <w:rFonts w:ascii="Symbol" w:hAnsi="Symbol" w:hint="default"/>
      </w:rPr>
    </w:lvl>
    <w:lvl w:ilvl="7" w:tplc="73D8A14C" w:tentative="1">
      <w:start w:val="1"/>
      <w:numFmt w:val="bullet"/>
      <w:lvlText w:val=""/>
      <w:lvlJc w:val="left"/>
      <w:pPr>
        <w:tabs>
          <w:tab w:val="num" w:pos="5760"/>
        </w:tabs>
        <w:ind w:left="5760" w:hanging="360"/>
      </w:pPr>
      <w:rPr>
        <w:rFonts w:ascii="Symbol" w:hAnsi="Symbol" w:hint="default"/>
      </w:rPr>
    </w:lvl>
    <w:lvl w:ilvl="8" w:tplc="605AE5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06C25FA"/>
    <w:multiLevelType w:val="multilevel"/>
    <w:tmpl w:val="394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605C2"/>
    <w:multiLevelType w:val="hybridMultilevel"/>
    <w:tmpl w:val="00F86EB2"/>
    <w:lvl w:ilvl="0" w:tplc="03F41C92">
      <w:start w:val="1"/>
      <w:numFmt w:val="bullet"/>
      <w:lvlText w:val=""/>
      <w:lvlPicBulletId w:val="1"/>
      <w:lvlJc w:val="left"/>
      <w:pPr>
        <w:tabs>
          <w:tab w:val="num" w:pos="720"/>
        </w:tabs>
        <w:ind w:left="720" w:hanging="360"/>
      </w:pPr>
      <w:rPr>
        <w:rFonts w:ascii="Symbol" w:hAnsi="Symbol" w:hint="default"/>
      </w:rPr>
    </w:lvl>
    <w:lvl w:ilvl="1" w:tplc="783C290A" w:tentative="1">
      <w:start w:val="1"/>
      <w:numFmt w:val="bullet"/>
      <w:lvlText w:val=""/>
      <w:lvlJc w:val="left"/>
      <w:pPr>
        <w:tabs>
          <w:tab w:val="num" w:pos="1440"/>
        </w:tabs>
        <w:ind w:left="1440" w:hanging="360"/>
      </w:pPr>
      <w:rPr>
        <w:rFonts w:ascii="Symbol" w:hAnsi="Symbol" w:hint="default"/>
      </w:rPr>
    </w:lvl>
    <w:lvl w:ilvl="2" w:tplc="CA2A24EE" w:tentative="1">
      <w:start w:val="1"/>
      <w:numFmt w:val="bullet"/>
      <w:lvlText w:val=""/>
      <w:lvlJc w:val="left"/>
      <w:pPr>
        <w:tabs>
          <w:tab w:val="num" w:pos="2160"/>
        </w:tabs>
        <w:ind w:left="2160" w:hanging="360"/>
      </w:pPr>
      <w:rPr>
        <w:rFonts w:ascii="Symbol" w:hAnsi="Symbol" w:hint="default"/>
      </w:rPr>
    </w:lvl>
    <w:lvl w:ilvl="3" w:tplc="10F83594" w:tentative="1">
      <w:start w:val="1"/>
      <w:numFmt w:val="bullet"/>
      <w:lvlText w:val=""/>
      <w:lvlJc w:val="left"/>
      <w:pPr>
        <w:tabs>
          <w:tab w:val="num" w:pos="2880"/>
        </w:tabs>
        <w:ind w:left="2880" w:hanging="360"/>
      </w:pPr>
      <w:rPr>
        <w:rFonts w:ascii="Symbol" w:hAnsi="Symbol" w:hint="default"/>
      </w:rPr>
    </w:lvl>
    <w:lvl w:ilvl="4" w:tplc="B9CA0186" w:tentative="1">
      <w:start w:val="1"/>
      <w:numFmt w:val="bullet"/>
      <w:lvlText w:val=""/>
      <w:lvlJc w:val="left"/>
      <w:pPr>
        <w:tabs>
          <w:tab w:val="num" w:pos="3600"/>
        </w:tabs>
        <w:ind w:left="3600" w:hanging="360"/>
      </w:pPr>
      <w:rPr>
        <w:rFonts w:ascii="Symbol" w:hAnsi="Symbol" w:hint="default"/>
      </w:rPr>
    </w:lvl>
    <w:lvl w:ilvl="5" w:tplc="E7041F82" w:tentative="1">
      <w:start w:val="1"/>
      <w:numFmt w:val="bullet"/>
      <w:lvlText w:val=""/>
      <w:lvlJc w:val="left"/>
      <w:pPr>
        <w:tabs>
          <w:tab w:val="num" w:pos="4320"/>
        </w:tabs>
        <w:ind w:left="4320" w:hanging="360"/>
      </w:pPr>
      <w:rPr>
        <w:rFonts w:ascii="Symbol" w:hAnsi="Symbol" w:hint="default"/>
      </w:rPr>
    </w:lvl>
    <w:lvl w:ilvl="6" w:tplc="FEBC2DAC" w:tentative="1">
      <w:start w:val="1"/>
      <w:numFmt w:val="bullet"/>
      <w:lvlText w:val=""/>
      <w:lvlJc w:val="left"/>
      <w:pPr>
        <w:tabs>
          <w:tab w:val="num" w:pos="5040"/>
        </w:tabs>
        <w:ind w:left="5040" w:hanging="360"/>
      </w:pPr>
      <w:rPr>
        <w:rFonts w:ascii="Symbol" w:hAnsi="Symbol" w:hint="default"/>
      </w:rPr>
    </w:lvl>
    <w:lvl w:ilvl="7" w:tplc="A920BB7E" w:tentative="1">
      <w:start w:val="1"/>
      <w:numFmt w:val="bullet"/>
      <w:lvlText w:val=""/>
      <w:lvlJc w:val="left"/>
      <w:pPr>
        <w:tabs>
          <w:tab w:val="num" w:pos="5760"/>
        </w:tabs>
        <w:ind w:left="5760" w:hanging="360"/>
      </w:pPr>
      <w:rPr>
        <w:rFonts w:ascii="Symbol" w:hAnsi="Symbol" w:hint="default"/>
      </w:rPr>
    </w:lvl>
    <w:lvl w:ilvl="8" w:tplc="8488F3F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D602F9"/>
    <w:multiLevelType w:val="multilevel"/>
    <w:tmpl w:val="84F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881744">
    <w:abstractNumId w:val="6"/>
  </w:num>
  <w:num w:numId="2" w16cid:durableId="727998171">
    <w:abstractNumId w:val="11"/>
  </w:num>
  <w:num w:numId="3" w16cid:durableId="556361808">
    <w:abstractNumId w:val="9"/>
  </w:num>
  <w:num w:numId="4" w16cid:durableId="77752590">
    <w:abstractNumId w:val="8"/>
  </w:num>
  <w:num w:numId="5" w16cid:durableId="360209173">
    <w:abstractNumId w:val="0"/>
  </w:num>
  <w:num w:numId="6" w16cid:durableId="611518301">
    <w:abstractNumId w:val="1"/>
  </w:num>
  <w:num w:numId="7" w16cid:durableId="1636594892">
    <w:abstractNumId w:val="2"/>
  </w:num>
  <w:num w:numId="8" w16cid:durableId="2026664164">
    <w:abstractNumId w:val="4"/>
  </w:num>
  <w:num w:numId="9" w16cid:durableId="1279873618">
    <w:abstractNumId w:val="5"/>
  </w:num>
  <w:num w:numId="10" w16cid:durableId="593519115">
    <w:abstractNumId w:val="7"/>
  </w:num>
  <w:num w:numId="11" w16cid:durableId="85081993">
    <w:abstractNumId w:val="3"/>
  </w:num>
  <w:num w:numId="12" w16cid:durableId="320161045">
    <w:abstractNumId w:val="10"/>
  </w:num>
  <w:num w:numId="13" w16cid:durableId="1646741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25"/>
        <o:r id="V:Rule2" type="connector" idref="#_x0000_s1026"/>
        <o:r id="V:Rule3" type="connector" idref="#_x0000_s1027"/>
        <o:r id="V:Rule4" type="connector" idref="#_x0000_s10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6C29"/>
    <w:rsid w:val="00002D4A"/>
    <w:rsid w:val="0003475A"/>
    <w:rsid w:val="00044BC1"/>
    <w:rsid w:val="00060BEE"/>
    <w:rsid w:val="000647A9"/>
    <w:rsid w:val="000E6887"/>
    <w:rsid w:val="001339C8"/>
    <w:rsid w:val="00133AA8"/>
    <w:rsid w:val="0016530F"/>
    <w:rsid w:val="001922F1"/>
    <w:rsid w:val="001A0313"/>
    <w:rsid w:val="001B56A9"/>
    <w:rsid w:val="001E1BD6"/>
    <w:rsid w:val="00212E07"/>
    <w:rsid w:val="00226FEE"/>
    <w:rsid w:val="0028714F"/>
    <w:rsid w:val="002B1512"/>
    <w:rsid w:val="002B5E87"/>
    <w:rsid w:val="00345FDB"/>
    <w:rsid w:val="00375E42"/>
    <w:rsid w:val="00384F4D"/>
    <w:rsid w:val="003A2A4F"/>
    <w:rsid w:val="003A6D77"/>
    <w:rsid w:val="003B5580"/>
    <w:rsid w:val="003C0CD6"/>
    <w:rsid w:val="003C13C2"/>
    <w:rsid w:val="003C22EA"/>
    <w:rsid w:val="00442464"/>
    <w:rsid w:val="00446EF2"/>
    <w:rsid w:val="00477579"/>
    <w:rsid w:val="004952B9"/>
    <w:rsid w:val="004D7F25"/>
    <w:rsid w:val="00535E9F"/>
    <w:rsid w:val="00537DD6"/>
    <w:rsid w:val="00561025"/>
    <w:rsid w:val="00590675"/>
    <w:rsid w:val="005A02C3"/>
    <w:rsid w:val="005A2875"/>
    <w:rsid w:val="005B5030"/>
    <w:rsid w:val="00632E66"/>
    <w:rsid w:val="00646787"/>
    <w:rsid w:val="0064680C"/>
    <w:rsid w:val="0065471E"/>
    <w:rsid w:val="00682C8F"/>
    <w:rsid w:val="006A5351"/>
    <w:rsid w:val="006F4B03"/>
    <w:rsid w:val="0071714C"/>
    <w:rsid w:val="00717FC5"/>
    <w:rsid w:val="007419A5"/>
    <w:rsid w:val="00772996"/>
    <w:rsid w:val="0077716C"/>
    <w:rsid w:val="007D2953"/>
    <w:rsid w:val="007E575F"/>
    <w:rsid w:val="00854D37"/>
    <w:rsid w:val="00881491"/>
    <w:rsid w:val="008B27A8"/>
    <w:rsid w:val="008E7116"/>
    <w:rsid w:val="0091500F"/>
    <w:rsid w:val="0091664B"/>
    <w:rsid w:val="009317B5"/>
    <w:rsid w:val="009E266B"/>
    <w:rsid w:val="009F008D"/>
    <w:rsid w:val="009F11DC"/>
    <w:rsid w:val="00A2334F"/>
    <w:rsid w:val="00A31481"/>
    <w:rsid w:val="00A41E55"/>
    <w:rsid w:val="00A5404F"/>
    <w:rsid w:val="00AA5D88"/>
    <w:rsid w:val="00AB30E6"/>
    <w:rsid w:val="00AD4F32"/>
    <w:rsid w:val="00AE1D41"/>
    <w:rsid w:val="00B11B8E"/>
    <w:rsid w:val="00B4680B"/>
    <w:rsid w:val="00B71CCD"/>
    <w:rsid w:val="00B925B2"/>
    <w:rsid w:val="00B93A06"/>
    <w:rsid w:val="00BA4EAF"/>
    <w:rsid w:val="00BB0313"/>
    <w:rsid w:val="00BD0C8F"/>
    <w:rsid w:val="00BD59F0"/>
    <w:rsid w:val="00BF1E78"/>
    <w:rsid w:val="00BF27FC"/>
    <w:rsid w:val="00C55F46"/>
    <w:rsid w:val="00CA17BC"/>
    <w:rsid w:val="00CB0EDA"/>
    <w:rsid w:val="00CB5E44"/>
    <w:rsid w:val="00CE6C29"/>
    <w:rsid w:val="00CE70E4"/>
    <w:rsid w:val="00D0326B"/>
    <w:rsid w:val="00D221CC"/>
    <w:rsid w:val="00D22607"/>
    <w:rsid w:val="00D2495A"/>
    <w:rsid w:val="00D318FC"/>
    <w:rsid w:val="00D4348A"/>
    <w:rsid w:val="00D6587D"/>
    <w:rsid w:val="00D72E01"/>
    <w:rsid w:val="00D952B7"/>
    <w:rsid w:val="00DB6990"/>
    <w:rsid w:val="00DC52B6"/>
    <w:rsid w:val="00DF6730"/>
    <w:rsid w:val="00E1178B"/>
    <w:rsid w:val="00E562E1"/>
    <w:rsid w:val="00E71D90"/>
    <w:rsid w:val="00E85B9C"/>
    <w:rsid w:val="00EA592F"/>
    <w:rsid w:val="00ED6305"/>
    <w:rsid w:val="00EE2095"/>
    <w:rsid w:val="00EE3689"/>
    <w:rsid w:val="00EF4583"/>
    <w:rsid w:val="00F04B0F"/>
    <w:rsid w:val="00F05BE5"/>
    <w:rsid w:val="00F20EB7"/>
    <w:rsid w:val="00F31E29"/>
    <w:rsid w:val="00F41691"/>
    <w:rsid w:val="00F56A73"/>
    <w:rsid w:val="00FE4CB4"/>
    <w:rsid w:val="00FF188E"/>
    <w:rsid w:val="00FF2996"/>
    <w:rsid w:val="00FF6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06BA"/>
  <w15:chartTrackingRefBased/>
  <w15:docId w15:val="{406F44B0-7074-478F-A41A-3DE3651B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29"/>
    <w:rPr>
      <w:rFonts w:ascii="Tahoma" w:eastAsia="Times New Roman" w:hAnsi="Tahom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CE6C29"/>
    <w:pPr>
      <w:tabs>
        <w:tab w:val="center" w:pos="4536"/>
        <w:tab w:val="right" w:pos="9072"/>
      </w:tabs>
    </w:pPr>
    <w:rPr>
      <w:lang w:val="x-none"/>
    </w:rPr>
  </w:style>
  <w:style w:type="character" w:customStyle="1" w:styleId="stbilgiChar">
    <w:name w:val="Üstbilgi Char"/>
    <w:link w:val="stbilgi"/>
    <w:uiPriority w:val="99"/>
    <w:rsid w:val="00CE6C29"/>
    <w:rPr>
      <w:rFonts w:ascii="Tahoma" w:eastAsia="Times New Roman" w:hAnsi="Tahoma" w:cs="Times New Roman"/>
      <w:sz w:val="24"/>
      <w:szCs w:val="24"/>
      <w:lang w:eastAsia="tr-TR"/>
    </w:rPr>
  </w:style>
  <w:style w:type="paragraph" w:customStyle="1" w:styleId="Altbilgi">
    <w:name w:val="Altbilgi"/>
    <w:basedOn w:val="Normal"/>
    <w:link w:val="AltbilgiChar"/>
    <w:uiPriority w:val="99"/>
    <w:unhideWhenUsed/>
    <w:rsid w:val="00CE6C29"/>
    <w:pPr>
      <w:tabs>
        <w:tab w:val="center" w:pos="4536"/>
        <w:tab w:val="right" w:pos="9072"/>
      </w:tabs>
    </w:pPr>
    <w:rPr>
      <w:lang w:val="x-none"/>
    </w:rPr>
  </w:style>
  <w:style w:type="character" w:customStyle="1" w:styleId="AltbilgiChar">
    <w:name w:val="Altbilgi Char"/>
    <w:link w:val="Altbilgi"/>
    <w:uiPriority w:val="99"/>
    <w:rsid w:val="00CE6C29"/>
    <w:rPr>
      <w:rFonts w:ascii="Tahoma" w:eastAsia="Times New Roman" w:hAnsi="Tahoma" w:cs="Times New Roman"/>
      <w:sz w:val="24"/>
      <w:szCs w:val="24"/>
      <w:lang w:eastAsia="tr-TR"/>
    </w:rPr>
  </w:style>
  <w:style w:type="paragraph" w:styleId="BalonMetni">
    <w:name w:val="Balloon Text"/>
    <w:basedOn w:val="Normal"/>
    <w:link w:val="BalonMetniChar"/>
    <w:uiPriority w:val="99"/>
    <w:semiHidden/>
    <w:unhideWhenUsed/>
    <w:rsid w:val="00CE6C29"/>
    <w:rPr>
      <w:sz w:val="16"/>
      <w:szCs w:val="16"/>
      <w:lang w:val="x-none"/>
    </w:rPr>
  </w:style>
  <w:style w:type="character" w:customStyle="1" w:styleId="BalonMetniChar">
    <w:name w:val="Balon Metni Char"/>
    <w:link w:val="BalonMetni"/>
    <w:uiPriority w:val="99"/>
    <w:semiHidden/>
    <w:rsid w:val="00CE6C29"/>
    <w:rPr>
      <w:rFonts w:ascii="Tahoma" w:eastAsia="Times New Roman" w:hAnsi="Tahoma" w:cs="Tahoma"/>
      <w:sz w:val="16"/>
      <w:szCs w:val="16"/>
      <w:lang w:eastAsia="tr-TR"/>
    </w:rPr>
  </w:style>
  <w:style w:type="table" w:styleId="TabloKlavuzu">
    <w:name w:val="Table Grid"/>
    <w:basedOn w:val="NormalTablo"/>
    <w:uiPriority w:val="59"/>
    <w:rsid w:val="002871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Glgeleme-Vurgu5">
    <w:name w:val="Light Shading Accent 5"/>
    <w:basedOn w:val="NormalTablo"/>
    <w:uiPriority w:val="60"/>
    <w:rsid w:val="0028714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4">
    <w:name w:val="Light Shading Accent 4"/>
    <w:basedOn w:val="NormalTablo"/>
    <w:uiPriority w:val="60"/>
    <w:rsid w:val="0028714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ListeParagraf">
    <w:name w:val="List Paragraph"/>
    <w:basedOn w:val="Normal"/>
    <w:uiPriority w:val="34"/>
    <w:qFormat/>
    <w:rsid w:val="0028714F"/>
    <w:pPr>
      <w:ind w:left="708"/>
    </w:pPr>
  </w:style>
  <w:style w:type="table" w:styleId="AkListe-Vurgu5">
    <w:name w:val="Light List Accent 5"/>
    <w:basedOn w:val="NormalTablo"/>
    <w:uiPriority w:val="61"/>
    <w:rsid w:val="00535E9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535E9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AklamaBavurusu">
    <w:name w:val="annotation reference"/>
    <w:uiPriority w:val="99"/>
    <w:semiHidden/>
    <w:unhideWhenUsed/>
    <w:rsid w:val="007419A5"/>
    <w:rPr>
      <w:sz w:val="16"/>
      <w:szCs w:val="16"/>
    </w:rPr>
  </w:style>
  <w:style w:type="paragraph" w:styleId="AklamaMetni">
    <w:name w:val="annotation text"/>
    <w:basedOn w:val="Normal"/>
    <w:link w:val="AklamaMetniChar"/>
    <w:uiPriority w:val="99"/>
    <w:semiHidden/>
    <w:unhideWhenUsed/>
    <w:rsid w:val="007419A5"/>
    <w:rPr>
      <w:sz w:val="20"/>
      <w:szCs w:val="20"/>
      <w:lang w:val="x-none" w:eastAsia="x-none"/>
    </w:rPr>
  </w:style>
  <w:style w:type="character" w:customStyle="1" w:styleId="AklamaMetniChar">
    <w:name w:val="Açıklama Metni Char"/>
    <w:link w:val="AklamaMetni"/>
    <w:uiPriority w:val="99"/>
    <w:semiHidden/>
    <w:rsid w:val="007419A5"/>
    <w:rPr>
      <w:rFonts w:ascii="Tahoma" w:eastAsia="Times New Roman" w:hAnsi="Tahoma"/>
    </w:rPr>
  </w:style>
  <w:style w:type="paragraph" w:styleId="AklamaKonusu">
    <w:name w:val="annotation subject"/>
    <w:basedOn w:val="AklamaMetni"/>
    <w:next w:val="AklamaMetni"/>
    <w:link w:val="AklamaKonusuChar"/>
    <w:uiPriority w:val="99"/>
    <w:semiHidden/>
    <w:unhideWhenUsed/>
    <w:rsid w:val="007419A5"/>
    <w:rPr>
      <w:b/>
      <w:bCs/>
    </w:rPr>
  </w:style>
  <w:style w:type="character" w:customStyle="1" w:styleId="AklamaKonusuChar">
    <w:name w:val="Açıklama Konusu Char"/>
    <w:link w:val="AklamaKonusu"/>
    <w:uiPriority w:val="99"/>
    <w:semiHidden/>
    <w:rsid w:val="007419A5"/>
    <w:rPr>
      <w:rFonts w:ascii="Tahoma" w:eastAsia="Times New Roman" w:hAnsi="Tahoma"/>
      <w:b/>
      <w:bCs/>
    </w:rPr>
  </w:style>
  <w:style w:type="character" w:customStyle="1" w:styleId="apple-style-span">
    <w:name w:val="apple-style-span"/>
    <w:basedOn w:val="VarsaylanParagrafYazTipi"/>
    <w:rsid w:val="00717FC5"/>
  </w:style>
  <w:style w:type="paragraph" w:styleId="stBilgi0">
    <w:name w:val="header"/>
    <w:basedOn w:val="Normal"/>
    <w:link w:val="stBilgiChar0"/>
    <w:uiPriority w:val="99"/>
    <w:unhideWhenUsed/>
    <w:rsid w:val="004952B9"/>
    <w:pPr>
      <w:tabs>
        <w:tab w:val="center" w:pos="4536"/>
        <w:tab w:val="right" w:pos="9072"/>
      </w:tabs>
    </w:pPr>
  </w:style>
  <w:style w:type="character" w:customStyle="1" w:styleId="stBilgiChar0">
    <w:name w:val="Üst Bilgi Char"/>
    <w:link w:val="stBilgi0"/>
    <w:uiPriority w:val="99"/>
    <w:rsid w:val="004952B9"/>
    <w:rPr>
      <w:rFonts w:ascii="Tahoma" w:eastAsia="Times New Roman" w:hAnsi="Tahoma"/>
      <w:sz w:val="24"/>
      <w:szCs w:val="24"/>
    </w:rPr>
  </w:style>
  <w:style w:type="paragraph" w:styleId="AltBilgi0">
    <w:name w:val="footer"/>
    <w:basedOn w:val="Normal"/>
    <w:link w:val="AltBilgiChar0"/>
    <w:uiPriority w:val="99"/>
    <w:unhideWhenUsed/>
    <w:rsid w:val="004952B9"/>
    <w:pPr>
      <w:tabs>
        <w:tab w:val="center" w:pos="4536"/>
        <w:tab w:val="right" w:pos="9072"/>
      </w:tabs>
    </w:pPr>
  </w:style>
  <w:style w:type="character" w:customStyle="1" w:styleId="AltBilgiChar0">
    <w:name w:val="Alt Bilgi Char"/>
    <w:link w:val="AltBilgi0"/>
    <w:uiPriority w:val="99"/>
    <w:rsid w:val="004952B9"/>
    <w:rPr>
      <w:rFonts w:ascii="Tahoma" w:eastAsia="Times New Roman"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446">
      <w:bodyDiv w:val="1"/>
      <w:marLeft w:val="0"/>
      <w:marRight w:val="0"/>
      <w:marTop w:val="0"/>
      <w:marBottom w:val="0"/>
      <w:divBdr>
        <w:top w:val="none" w:sz="0" w:space="0" w:color="auto"/>
        <w:left w:val="none" w:sz="0" w:space="0" w:color="auto"/>
        <w:bottom w:val="none" w:sz="0" w:space="0" w:color="auto"/>
        <w:right w:val="none" w:sz="0" w:space="0" w:color="auto"/>
      </w:divBdr>
    </w:div>
    <w:div w:id="626667561">
      <w:bodyDiv w:val="1"/>
      <w:marLeft w:val="0"/>
      <w:marRight w:val="0"/>
      <w:marTop w:val="0"/>
      <w:marBottom w:val="0"/>
      <w:divBdr>
        <w:top w:val="none" w:sz="0" w:space="0" w:color="auto"/>
        <w:left w:val="none" w:sz="0" w:space="0" w:color="auto"/>
        <w:bottom w:val="none" w:sz="0" w:space="0" w:color="auto"/>
        <w:right w:val="none" w:sz="0" w:space="0" w:color="auto"/>
      </w:divBdr>
    </w:div>
    <w:div w:id="875313138">
      <w:bodyDiv w:val="1"/>
      <w:marLeft w:val="0"/>
      <w:marRight w:val="0"/>
      <w:marTop w:val="0"/>
      <w:marBottom w:val="0"/>
      <w:divBdr>
        <w:top w:val="none" w:sz="0" w:space="0" w:color="auto"/>
        <w:left w:val="none" w:sz="0" w:space="0" w:color="auto"/>
        <w:bottom w:val="none" w:sz="0" w:space="0" w:color="auto"/>
        <w:right w:val="none" w:sz="0" w:space="0" w:color="auto"/>
      </w:divBdr>
    </w:div>
    <w:div w:id="1081484737">
      <w:bodyDiv w:val="1"/>
      <w:marLeft w:val="0"/>
      <w:marRight w:val="0"/>
      <w:marTop w:val="0"/>
      <w:marBottom w:val="0"/>
      <w:divBdr>
        <w:top w:val="none" w:sz="0" w:space="0" w:color="auto"/>
        <w:left w:val="none" w:sz="0" w:space="0" w:color="auto"/>
        <w:bottom w:val="none" w:sz="0" w:space="0" w:color="auto"/>
        <w:right w:val="none" w:sz="0" w:space="0" w:color="auto"/>
      </w:divBdr>
    </w:div>
    <w:div w:id="1476725555">
      <w:bodyDiv w:val="1"/>
      <w:marLeft w:val="0"/>
      <w:marRight w:val="0"/>
      <w:marTop w:val="0"/>
      <w:marBottom w:val="0"/>
      <w:divBdr>
        <w:top w:val="none" w:sz="0" w:space="0" w:color="auto"/>
        <w:left w:val="none" w:sz="0" w:space="0" w:color="auto"/>
        <w:bottom w:val="none" w:sz="0" w:space="0" w:color="auto"/>
        <w:right w:val="none" w:sz="0" w:space="0" w:color="auto"/>
      </w:divBdr>
    </w:div>
    <w:div w:id="1986081537">
      <w:bodyDiv w:val="1"/>
      <w:marLeft w:val="0"/>
      <w:marRight w:val="0"/>
      <w:marTop w:val="0"/>
      <w:marBottom w:val="0"/>
      <w:divBdr>
        <w:top w:val="none" w:sz="0" w:space="0" w:color="auto"/>
        <w:left w:val="none" w:sz="0" w:space="0" w:color="auto"/>
        <w:bottom w:val="none" w:sz="0" w:space="0" w:color="auto"/>
        <w:right w:val="none" w:sz="0" w:space="0" w:color="auto"/>
      </w:divBdr>
    </w:div>
    <w:div w:id="2049790507">
      <w:bodyDiv w:val="1"/>
      <w:marLeft w:val="0"/>
      <w:marRight w:val="0"/>
      <w:marTop w:val="0"/>
      <w:marBottom w:val="0"/>
      <w:divBdr>
        <w:top w:val="none" w:sz="0" w:space="0" w:color="auto"/>
        <w:left w:val="none" w:sz="0" w:space="0" w:color="auto"/>
        <w:bottom w:val="none" w:sz="0" w:space="0" w:color="auto"/>
        <w:right w:val="none" w:sz="0" w:space="0" w:color="auto"/>
      </w:divBdr>
    </w:div>
    <w:div w:id="20655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674</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ICTSERT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dc:creator>
  <cp:keywords/>
  <cp:lastModifiedBy>FATİH ÖZCAN</cp:lastModifiedBy>
  <cp:revision>8</cp:revision>
  <dcterms:created xsi:type="dcterms:W3CDTF">2021-09-28T13:16:00Z</dcterms:created>
  <dcterms:modified xsi:type="dcterms:W3CDTF">2025-10-14T09:18:00Z</dcterms:modified>
</cp:coreProperties>
</file>